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C58" w:rsidRDefault="004C3C58" w:rsidP="00391731">
      <w:pPr>
        <w:spacing w:after="0"/>
        <w:contextualSpacing/>
      </w:pPr>
    </w:p>
    <w:p w:rsidR="004C3C58" w:rsidRDefault="004C3C58" w:rsidP="00391731">
      <w:pPr>
        <w:spacing w:after="0"/>
        <w:contextualSpacing/>
      </w:pPr>
    </w:p>
    <w:p w:rsidR="004C3C58" w:rsidRDefault="004C3C58" w:rsidP="00391731">
      <w:pPr>
        <w:spacing w:after="0"/>
        <w:contextualSpacing/>
      </w:pPr>
    </w:p>
    <w:p w:rsidR="004C3C58" w:rsidRDefault="004C3C58" w:rsidP="00391731">
      <w:pPr>
        <w:spacing w:after="0"/>
        <w:contextualSpacing/>
      </w:pPr>
    </w:p>
    <w:p w:rsidR="004C3C58" w:rsidRDefault="004C3C58" w:rsidP="00391731">
      <w:pPr>
        <w:spacing w:after="0"/>
        <w:contextualSpacing/>
      </w:pPr>
    </w:p>
    <w:p w:rsidR="004C3C58" w:rsidRDefault="004C3C58" w:rsidP="00391731">
      <w:pPr>
        <w:spacing w:after="0"/>
        <w:contextualSpacing/>
      </w:pPr>
    </w:p>
    <w:p w:rsidR="004C3C58" w:rsidRDefault="004C3C58" w:rsidP="00391731">
      <w:pPr>
        <w:spacing w:after="0"/>
        <w:contextualSpacing/>
      </w:pPr>
    </w:p>
    <w:p w:rsidR="004C3C58" w:rsidRDefault="004C3C58" w:rsidP="00391731">
      <w:pPr>
        <w:spacing w:after="0"/>
        <w:contextualSpacing/>
      </w:pPr>
    </w:p>
    <w:p w:rsidR="004C3C58" w:rsidRDefault="004C3C58" w:rsidP="00391731">
      <w:pPr>
        <w:spacing w:after="0"/>
        <w:contextualSpacing/>
      </w:pPr>
    </w:p>
    <w:p w:rsidR="004C3C58" w:rsidRDefault="004C3C58" w:rsidP="00391731">
      <w:pPr>
        <w:spacing w:after="0"/>
        <w:contextualSpacing/>
        <w:jc w:val="center"/>
      </w:pPr>
    </w:p>
    <w:p w:rsidR="009F7741" w:rsidRDefault="00572C3C" w:rsidP="00391731">
      <w:pPr>
        <w:spacing w:after="0"/>
        <w:contextualSpacing/>
        <w:jc w:val="center"/>
      </w:pPr>
      <w:bookmarkStart w:id="0" w:name="_Hlk34430022"/>
      <w:r w:rsidRPr="000A64AB">
        <w:t>Finnish early education model</w:t>
      </w:r>
    </w:p>
    <w:bookmarkEnd w:id="0"/>
    <w:p w:rsidR="00636EB9" w:rsidRDefault="00572C3C" w:rsidP="00391731">
      <w:pPr>
        <w:spacing w:after="0"/>
        <w:contextualSpacing/>
        <w:jc w:val="center"/>
      </w:pPr>
      <w:r>
        <w:t>Student’s Name</w:t>
      </w:r>
    </w:p>
    <w:p w:rsidR="004C3C58" w:rsidRDefault="00572C3C" w:rsidP="00391731">
      <w:pPr>
        <w:spacing w:after="0"/>
        <w:contextualSpacing/>
        <w:jc w:val="center"/>
      </w:pPr>
      <w:r>
        <w:t>Institution Affiliations</w:t>
      </w:r>
    </w:p>
    <w:p w:rsidR="004C3C58" w:rsidRPr="00636EB9" w:rsidRDefault="004C3C58" w:rsidP="00391731">
      <w:pPr>
        <w:spacing w:after="0"/>
        <w:contextualSpacing/>
      </w:pPr>
    </w:p>
    <w:p w:rsidR="004C3C58" w:rsidRDefault="004C3C58" w:rsidP="00391731">
      <w:pPr>
        <w:spacing w:after="0"/>
        <w:ind w:firstLine="720"/>
        <w:contextualSpacing/>
      </w:pPr>
    </w:p>
    <w:p w:rsidR="004C3C58" w:rsidRDefault="004C3C58" w:rsidP="00391731">
      <w:pPr>
        <w:spacing w:after="0"/>
        <w:ind w:firstLine="720"/>
        <w:contextualSpacing/>
      </w:pPr>
    </w:p>
    <w:p w:rsidR="004C3C58" w:rsidRDefault="004C3C58" w:rsidP="00391731">
      <w:pPr>
        <w:spacing w:after="0"/>
        <w:ind w:firstLine="720"/>
        <w:contextualSpacing/>
      </w:pPr>
    </w:p>
    <w:p w:rsidR="004C3C58" w:rsidRDefault="00572C3C" w:rsidP="00391731">
      <w:pPr>
        <w:spacing w:after="0"/>
        <w:contextualSpacing/>
        <w:jc w:val="left"/>
      </w:pPr>
      <w:r>
        <w:br w:type="page"/>
      </w:r>
    </w:p>
    <w:p w:rsidR="00971740" w:rsidRPr="00F21269" w:rsidRDefault="00391731" w:rsidP="00391731">
      <w:pPr>
        <w:spacing w:after="0"/>
        <w:contextualSpacing/>
        <w:jc w:val="center"/>
      </w:pPr>
      <w:r>
        <w:lastRenderedPageBreak/>
        <w:t>Finnish Early E</w:t>
      </w:r>
      <w:r w:rsidRPr="000A64AB">
        <w:t>ducation</w:t>
      </w:r>
      <w:r>
        <w:t xml:space="preserve"> M</w:t>
      </w:r>
      <w:r w:rsidR="00572C3C" w:rsidRPr="000A64AB">
        <w:t>odel</w:t>
      </w:r>
    </w:p>
    <w:p w:rsidR="00177952" w:rsidRDefault="00572C3C" w:rsidP="00391731">
      <w:pPr>
        <w:spacing w:after="0"/>
        <w:ind w:firstLine="720"/>
        <w:contextualSpacing/>
      </w:pPr>
      <w:r>
        <w:t xml:space="preserve">The </w:t>
      </w:r>
      <w:r w:rsidRPr="000A64AB">
        <w:t>Finnish early education model</w:t>
      </w:r>
      <w:r>
        <w:t xml:space="preserve"> believes that young learners understand far better how they would wish to learn. Therefore, the learners are allowed to find the courage for the learning expedition as teachers enable and support the learning. Secondly, this model believes that both teach</w:t>
      </w:r>
      <w:r>
        <w:t xml:space="preserve">ers and children ought to be respected as individuals. The reason behind this is that each learner or educator has a distinctive personality that ought </w:t>
      </w:r>
      <w:r w:rsidR="0043135F">
        <w:t>to be treasured and celebrated. Teachers are highly respected, trusted, and given a chance to decide on how best to facilitate the learning of their students.</w:t>
      </w:r>
    </w:p>
    <w:p w:rsidR="00CC409B" w:rsidRDefault="00572C3C" w:rsidP="00391731">
      <w:pPr>
        <w:spacing w:after="0"/>
        <w:ind w:firstLine="720"/>
        <w:contextualSpacing/>
      </w:pPr>
      <w:r>
        <w:t xml:space="preserve">All that the educators want is seeing the children exploring themselves, thus becoming reasons that must describe them. In addition to this model, the </w:t>
      </w:r>
      <w:r w:rsidRPr="000A64AB">
        <w:t>Finnish early education model</w:t>
      </w:r>
      <w:r>
        <w:t xml:space="preserve"> has a general belief</w:t>
      </w:r>
      <w:r>
        <w:t xml:space="preserve"> that mixed-age children groups are the best teaching pedagogy</w:t>
      </w:r>
      <w:r w:rsidR="00B60C45">
        <w:t xml:space="preserve"> (</w:t>
      </w:r>
      <w:r w:rsidR="00B60C45" w:rsidRPr="00AA78A0">
        <w:rPr>
          <w:rFonts w:eastAsia="Times New Roman" w:cs="Times New Roman"/>
          <w:szCs w:val="24"/>
        </w:rPr>
        <w:t>Kansanen, 20</w:t>
      </w:r>
      <w:r w:rsidR="00B60C45">
        <w:rPr>
          <w:rFonts w:eastAsia="Times New Roman" w:cs="Times New Roman"/>
          <w:szCs w:val="24"/>
        </w:rPr>
        <w:t>15</w:t>
      </w:r>
      <w:r w:rsidR="00B60C45" w:rsidRPr="00AA78A0">
        <w:rPr>
          <w:rFonts w:eastAsia="Times New Roman" w:cs="Times New Roman"/>
          <w:szCs w:val="24"/>
        </w:rPr>
        <w:t>)</w:t>
      </w:r>
      <w:r>
        <w:t xml:space="preserve">. The reason behind this is that it encourages mature children </w:t>
      </w:r>
      <w:r w:rsidR="00C16DA7">
        <w:t>to spend a great deal of time together, making younger children learn more from their older counterparts. Also, once these learners get this opportunity, they can enjoy great compassion as well as the support they usually need it due to the nature of their educational level.</w:t>
      </w:r>
    </w:p>
    <w:p w:rsidR="00177952" w:rsidRDefault="00572C3C" w:rsidP="00391731">
      <w:pPr>
        <w:spacing w:after="0"/>
        <w:ind w:firstLine="720"/>
        <w:contextualSpacing/>
      </w:pPr>
      <w:r>
        <w:t>Additionally, learners get the opportunity not only to play a lot but also to have fun among t</w:t>
      </w:r>
      <w:r>
        <w:t>hemselves. As they play and have fun, they get the unique chance of discovering things that are new to them</w:t>
      </w:r>
      <w:r w:rsidR="00D12B68">
        <w:t>. These children usually engage in different types of plays. These plays include digital plays, free plays, social as well as creative plays</w:t>
      </w:r>
      <w:r w:rsidR="00883756">
        <w:t xml:space="preserve"> </w:t>
      </w:r>
      <w:r w:rsidR="00316868">
        <w:t>(</w:t>
      </w:r>
      <w:r w:rsidR="00316868" w:rsidRPr="00A65472">
        <w:rPr>
          <w:rFonts w:eastAsia="Times New Roman" w:cs="Times New Roman"/>
          <w:szCs w:val="24"/>
        </w:rPr>
        <w:t>Taguma,</w:t>
      </w:r>
      <w:r w:rsidR="00316868">
        <w:rPr>
          <w:rFonts w:eastAsia="Times New Roman" w:cs="Times New Roman"/>
          <w:szCs w:val="24"/>
        </w:rPr>
        <w:t xml:space="preserve"> </w:t>
      </w:r>
      <w:r w:rsidR="00316868" w:rsidRPr="00A65472">
        <w:rPr>
          <w:rFonts w:eastAsia="Times New Roman" w:cs="Times New Roman"/>
          <w:szCs w:val="24"/>
        </w:rPr>
        <w:t>Litjens</w:t>
      </w:r>
      <w:r w:rsidR="00316868">
        <w:rPr>
          <w:rFonts w:eastAsia="Times New Roman" w:cs="Times New Roman"/>
          <w:szCs w:val="24"/>
        </w:rPr>
        <w:t xml:space="preserve">, </w:t>
      </w:r>
      <w:r w:rsidR="00316868" w:rsidRPr="00A65472">
        <w:rPr>
          <w:rFonts w:eastAsia="Times New Roman" w:cs="Times New Roman"/>
          <w:szCs w:val="24"/>
        </w:rPr>
        <w:t>&amp; Makowiecki,</w:t>
      </w:r>
      <w:r w:rsidR="00316868">
        <w:rPr>
          <w:rFonts w:eastAsia="Times New Roman" w:cs="Times New Roman"/>
          <w:szCs w:val="24"/>
        </w:rPr>
        <w:t xml:space="preserve"> </w:t>
      </w:r>
      <w:r w:rsidR="00316868" w:rsidRPr="00A65472">
        <w:rPr>
          <w:rFonts w:eastAsia="Times New Roman" w:cs="Times New Roman"/>
          <w:szCs w:val="24"/>
        </w:rPr>
        <w:t>201</w:t>
      </w:r>
      <w:r w:rsidR="00316868">
        <w:rPr>
          <w:rFonts w:eastAsia="Times New Roman" w:cs="Times New Roman"/>
          <w:szCs w:val="24"/>
        </w:rPr>
        <w:t>5</w:t>
      </w:r>
      <w:r w:rsidR="00316868" w:rsidRPr="00A65472">
        <w:rPr>
          <w:rFonts w:eastAsia="Times New Roman" w:cs="Times New Roman"/>
          <w:szCs w:val="24"/>
        </w:rPr>
        <w:t>)</w:t>
      </w:r>
      <w:r w:rsidR="00D12B68">
        <w:t>. In some of the games, children are required to play autonomously with their age mates</w:t>
      </w:r>
      <w:r w:rsidR="00811B77">
        <w:t xml:space="preserve"> </w:t>
      </w:r>
      <w:r w:rsidR="009F196E">
        <w:t>(</w:t>
      </w:r>
      <w:r w:rsidR="00811B77" w:rsidRPr="00AA78A0">
        <w:rPr>
          <w:rFonts w:eastAsia="Times New Roman" w:cs="Times New Roman"/>
          <w:szCs w:val="24"/>
        </w:rPr>
        <w:t>Sahlberg, 201</w:t>
      </w:r>
      <w:r w:rsidR="00811B77">
        <w:rPr>
          <w:rFonts w:eastAsia="Times New Roman" w:cs="Times New Roman"/>
          <w:szCs w:val="24"/>
        </w:rPr>
        <w:t>6</w:t>
      </w:r>
      <w:r w:rsidR="00811B77" w:rsidRPr="00AA78A0">
        <w:rPr>
          <w:rFonts w:eastAsia="Times New Roman" w:cs="Times New Roman"/>
          <w:szCs w:val="24"/>
        </w:rPr>
        <w:t>)</w:t>
      </w:r>
      <w:r w:rsidR="00D12B68">
        <w:t>. The reason behind this</w:t>
      </w:r>
      <w:r w:rsidR="004E0D9D">
        <w:t xml:space="preserve"> choice</w:t>
      </w:r>
      <w:r w:rsidR="00D12B68">
        <w:t xml:space="preserve"> is that they usually believe that most of these plays make full use of children’s learning.</w:t>
      </w:r>
    </w:p>
    <w:p w:rsidR="00A113CA" w:rsidRDefault="00572C3C" w:rsidP="00391731">
      <w:pPr>
        <w:spacing w:after="0"/>
        <w:ind w:firstLine="720"/>
        <w:contextualSpacing/>
      </w:pPr>
      <w:r>
        <w:t>Moreover, according to this model, the belief is that children need to have a time-cut to various fun-bringing places. These fun-bringing places are like swamps, lakes, forests, and even parks</w:t>
      </w:r>
      <w:r w:rsidR="009730ED">
        <w:t xml:space="preserve"> (</w:t>
      </w:r>
      <w:r w:rsidR="009730ED" w:rsidRPr="00AA78A0">
        <w:rPr>
          <w:rFonts w:eastAsia="Times New Roman" w:cs="Times New Roman"/>
          <w:szCs w:val="24"/>
        </w:rPr>
        <w:t>Kansanen, 20</w:t>
      </w:r>
      <w:r w:rsidR="009730ED">
        <w:rPr>
          <w:rFonts w:eastAsia="Times New Roman" w:cs="Times New Roman"/>
          <w:szCs w:val="24"/>
        </w:rPr>
        <w:t>15</w:t>
      </w:r>
      <w:r w:rsidR="009730ED" w:rsidRPr="00AA78A0">
        <w:rPr>
          <w:rFonts w:eastAsia="Times New Roman" w:cs="Times New Roman"/>
          <w:szCs w:val="24"/>
        </w:rPr>
        <w:t>)</w:t>
      </w:r>
      <w:r>
        <w:t>. Once they go to these places, children get a</w:t>
      </w:r>
      <w:r>
        <w:t xml:space="preserve">n opportunity to </w:t>
      </w:r>
      <w:r>
        <w:lastRenderedPageBreak/>
        <w:t>interact with nature and also improve their powers of creativity and imagination. As it is well-known, Finland enjoys a four-season climate. Children take advantage of this, especially when they are handling outdoor activities.</w:t>
      </w:r>
      <w:r w:rsidR="00A447C0">
        <w:t xml:space="preserve"> </w:t>
      </w:r>
      <w:r>
        <w:t>This fact m</w:t>
      </w:r>
      <w:r>
        <w:t>eans that both learners, together with their educators, can wear appropriate clothing and costumes.</w:t>
      </w:r>
    </w:p>
    <w:p w:rsidR="004E0D9D" w:rsidRDefault="00572C3C" w:rsidP="00391731">
      <w:pPr>
        <w:spacing w:after="0"/>
        <w:ind w:firstLine="720"/>
        <w:contextualSpacing/>
      </w:pPr>
      <w:r>
        <w:t>Once they are on this attire, they can play freely and as many times as they can since the weather is favorable. As it is evident, this model seeks to promo</w:t>
      </w:r>
      <w:r>
        <w:t xml:space="preserve">te some societal aspects like norms, traditions, religion, among other </w:t>
      </w:r>
      <w:r w:rsidR="004113A4">
        <w:t>elements of the community that the child lives in all the time.</w:t>
      </w:r>
      <w:r w:rsidR="0005652E">
        <w:t xml:space="preserve"> Through these strategies, the children get the opportunity to get any help that they may need</w:t>
      </w:r>
      <w:r w:rsidR="00540819">
        <w:t xml:space="preserve"> (</w:t>
      </w:r>
      <w:r w:rsidR="00540819" w:rsidRPr="00AA78A0">
        <w:rPr>
          <w:rFonts w:eastAsia="Times New Roman" w:cs="Times New Roman"/>
          <w:szCs w:val="24"/>
        </w:rPr>
        <w:t>Sahlberg, 201</w:t>
      </w:r>
      <w:r w:rsidR="00540819">
        <w:rPr>
          <w:rFonts w:eastAsia="Times New Roman" w:cs="Times New Roman"/>
          <w:szCs w:val="24"/>
        </w:rPr>
        <w:t>6</w:t>
      </w:r>
      <w:r w:rsidR="00540819" w:rsidRPr="00AA78A0">
        <w:rPr>
          <w:rFonts w:eastAsia="Times New Roman" w:cs="Times New Roman"/>
          <w:szCs w:val="24"/>
        </w:rPr>
        <w:t>)</w:t>
      </w:r>
      <w:r w:rsidR="0005652E">
        <w:t xml:space="preserve">. Due to this fact, they can, without any challenges, become the best version of themselves. </w:t>
      </w:r>
    </w:p>
    <w:p w:rsidR="003A71BD" w:rsidRDefault="00572C3C" w:rsidP="00391731">
      <w:pPr>
        <w:spacing w:after="0"/>
        <w:ind w:firstLine="720"/>
        <w:contextualSpacing/>
      </w:pPr>
      <w:r>
        <w:t xml:space="preserve">The component of early education, according to the </w:t>
      </w:r>
      <w:r w:rsidRPr="00CA601E">
        <w:t>Finnish early education model</w:t>
      </w:r>
      <w:r>
        <w:t xml:space="preserve">, ranges from playing, mathematics, ethics, natural science, religion to history. A right </w:t>
      </w:r>
      <w:r>
        <w:t>learning environment has to be enabled to facilitate the learning of this curriculum cycle</w:t>
      </w:r>
      <w:r w:rsidR="003533C4">
        <w:t xml:space="preserve"> (</w:t>
      </w:r>
      <w:r w:rsidR="003533C4" w:rsidRPr="00A65472">
        <w:rPr>
          <w:rFonts w:eastAsia="Times New Roman" w:cs="Times New Roman"/>
          <w:szCs w:val="24"/>
        </w:rPr>
        <w:t>Thunberg</w:t>
      </w:r>
      <w:r w:rsidR="003533C4">
        <w:rPr>
          <w:rFonts w:eastAsia="Times New Roman" w:cs="Times New Roman"/>
          <w:szCs w:val="24"/>
        </w:rPr>
        <w:t xml:space="preserve"> at al., </w:t>
      </w:r>
      <w:r w:rsidR="003533C4" w:rsidRPr="00A65472">
        <w:rPr>
          <w:rFonts w:eastAsia="Times New Roman" w:cs="Times New Roman"/>
          <w:szCs w:val="24"/>
        </w:rPr>
        <w:t>201</w:t>
      </w:r>
      <w:r w:rsidR="003533C4">
        <w:rPr>
          <w:rFonts w:eastAsia="Times New Roman" w:cs="Times New Roman"/>
          <w:szCs w:val="24"/>
        </w:rPr>
        <w:t>8</w:t>
      </w:r>
      <w:r w:rsidR="003533C4" w:rsidRPr="00A65472">
        <w:rPr>
          <w:rFonts w:eastAsia="Times New Roman" w:cs="Times New Roman"/>
          <w:szCs w:val="24"/>
        </w:rPr>
        <w:t>)</w:t>
      </w:r>
      <w:r>
        <w:t xml:space="preserve">. When engaging in play, learners can exercise and therefore end up growing healthy since exercise is essential for the healthy growth of the </w:t>
      </w:r>
      <w:r>
        <w:t xml:space="preserve">body. </w:t>
      </w:r>
      <w:r w:rsidR="0085364E">
        <w:t>In the process of playing, these children are usually on another level. The reason behind this that they can experience happiness</w:t>
      </w:r>
      <w:r w:rsidR="00AC3FED">
        <w:t xml:space="preserve"> (</w:t>
      </w:r>
      <w:r w:rsidR="00AC3FED" w:rsidRPr="00AA78A0">
        <w:rPr>
          <w:rFonts w:eastAsia="Times New Roman" w:cs="Times New Roman"/>
          <w:szCs w:val="24"/>
        </w:rPr>
        <w:t>Kansanen, 20</w:t>
      </w:r>
      <w:r w:rsidR="00AC3FED">
        <w:rPr>
          <w:rFonts w:eastAsia="Times New Roman" w:cs="Times New Roman"/>
          <w:szCs w:val="24"/>
        </w:rPr>
        <w:t>15</w:t>
      </w:r>
      <w:r w:rsidR="00AC3FED" w:rsidRPr="00AA78A0">
        <w:rPr>
          <w:rFonts w:eastAsia="Times New Roman" w:cs="Times New Roman"/>
          <w:szCs w:val="24"/>
        </w:rPr>
        <w:t>)</w:t>
      </w:r>
      <w:r w:rsidR="0085364E">
        <w:t xml:space="preserve">. As they experience joy, they stand better chances of grasping new concepts since they can now think more quickly than when they don't turn up for these crucial breaks. </w:t>
      </w:r>
      <w:r w:rsidR="00F96621">
        <w:t>Also, the</w:t>
      </w:r>
      <w:r w:rsidR="00971F62">
        <w:t>y get opportunities of displaying their feelings to others. Also, this playing helps the children to understand themselves better, their surroundings, and above all, their friends and the people they live together</w:t>
      </w:r>
      <w:r w:rsidR="00CF080C">
        <w:t xml:space="preserve"> (</w:t>
      </w:r>
      <w:r w:rsidR="00CF080C" w:rsidRPr="00AA78A0">
        <w:rPr>
          <w:rFonts w:eastAsia="Times New Roman" w:cs="Times New Roman"/>
          <w:szCs w:val="24"/>
        </w:rPr>
        <w:t>Sahlberg, 201</w:t>
      </w:r>
      <w:r w:rsidR="00CF080C">
        <w:rPr>
          <w:rFonts w:eastAsia="Times New Roman" w:cs="Times New Roman"/>
          <w:szCs w:val="24"/>
        </w:rPr>
        <w:t>6</w:t>
      </w:r>
      <w:r w:rsidR="00CF080C" w:rsidRPr="00AA78A0">
        <w:rPr>
          <w:rFonts w:eastAsia="Times New Roman" w:cs="Times New Roman"/>
          <w:szCs w:val="24"/>
        </w:rPr>
        <w:t>)</w:t>
      </w:r>
      <w:r w:rsidR="00971F62">
        <w:t xml:space="preserve">. </w:t>
      </w:r>
      <w:r>
        <w:t xml:space="preserve">As these children become aware of their general body formation and physique, they benefit a lot. One </w:t>
      </w:r>
      <w:r>
        <w:t xml:space="preserve">benefit is that they get the opportunity to boost their self-esteem. </w:t>
      </w:r>
    </w:p>
    <w:p w:rsidR="003A71BD" w:rsidRDefault="00572C3C" w:rsidP="00391731">
      <w:pPr>
        <w:spacing w:after="0"/>
        <w:ind w:firstLine="720"/>
        <w:contextualSpacing/>
      </w:pPr>
      <w:r>
        <w:t xml:space="preserve">Secondly, in the field of mathematics, children can make logical conclusions; they can compare, and also learn to perform some necessary calculations. They carry out all these </w:t>
      </w:r>
      <w:r>
        <w:lastRenderedPageBreak/>
        <w:t>activities</w:t>
      </w:r>
      <w:r>
        <w:t xml:space="preserve"> playfully in all situations</w:t>
      </w:r>
      <w:r w:rsidR="00651425">
        <w:t xml:space="preserve"> (</w:t>
      </w:r>
      <w:r w:rsidR="00651425" w:rsidRPr="00A65472">
        <w:rPr>
          <w:rFonts w:eastAsia="Times New Roman" w:cs="Times New Roman"/>
          <w:szCs w:val="24"/>
        </w:rPr>
        <w:t>Taguma,</w:t>
      </w:r>
      <w:r w:rsidR="00651425">
        <w:rPr>
          <w:rFonts w:eastAsia="Times New Roman" w:cs="Times New Roman"/>
          <w:szCs w:val="24"/>
        </w:rPr>
        <w:t xml:space="preserve"> </w:t>
      </w:r>
      <w:r w:rsidR="00651425" w:rsidRPr="00A65472">
        <w:rPr>
          <w:rFonts w:eastAsia="Times New Roman" w:cs="Times New Roman"/>
          <w:szCs w:val="24"/>
        </w:rPr>
        <w:t>Litjens</w:t>
      </w:r>
      <w:r w:rsidR="00DB0B61">
        <w:rPr>
          <w:rFonts w:eastAsia="Times New Roman" w:cs="Times New Roman"/>
          <w:szCs w:val="24"/>
        </w:rPr>
        <w:t>,</w:t>
      </w:r>
      <w:r w:rsidR="00651425">
        <w:rPr>
          <w:rFonts w:eastAsia="Times New Roman" w:cs="Times New Roman"/>
          <w:szCs w:val="24"/>
        </w:rPr>
        <w:t xml:space="preserve"> </w:t>
      </w:r>
      <w:r w:rsidR="00651425" w:rsidRPr="00A65472">
        <w:rPr>
          <w:rFonts w:eastAsia="Times New Roman" w:cs="Times New Roman"/>
          <w:szCs w:val="24"/>
        </w:rPr>
        <w:t>&amp; Makowiecki,</w:t>
      </w:r>
      <w:r w:rsidR="00651425">
        <w:rPr>
          <w:rFonts w:eastAsia="Times New Roman" w:cs="Times New Roman"/>
          <w:szCs w:val="24"/>
        </w:rPr>
        <w:t xml:space="preserve"> </w:t>
      </w:r>
      <w:r w:rsidR="00651425" w:rsidRPr="00A65472">
        <w:rPr>
          <w:rFonts w:eastAsia="Times New Roman" w:cs="Times New Roman"/>
          <w:szCs w:val="24"/>
        </w:rPr>
        <w:t>201</w:t>
      </w:r>
      <w:r w:rsidR="00651425">
        <w:rPr>
          <w:rFonts w:eastAsia="Times New Roman" w:cs="Times New Roman"/>
          <w:szCs w:val="24"/>
        </w:rPr>
        <w:t>5</w:t>
      </w:r>
      <w:r w:rsidR="00651425" w:rsidRPr="00A65472">
        <w:rPr>
          <w:rFonts w:eastAsia="Times New Roman" w:cs="Times New Roman"/>
          <w:szCs w:val="24"/>
        </w:rPr>
        <w:t>)</w:t>
      </w:r>
      <w:r>
        <w:t xml:space="preserve">. In these mathematical processes, </w:t>
      </w:r>
      <w:r w:rsidR="006E2D5C">
        <w:t xml:space="preserve">both the equipment and material that they use are concrete. The concrete materials mean that they are very much aware of them and </w:t>
      </w:r>
      <w:r w:rsidR="00D0711F">
        <w:t xml:space="preserve">are also captivating. </w:t>
      </w:r>
    </w:p>
    <w:p w:rsidR="003A71BD" w:rsidRDefault="00572C3C" w:rsidP="00391731">
      <w:pPr>
        <w:spacing w:after="0"/>
        <w:ind w:firstLine="720"/>
        <w:contextualSpacing/>
      </w:pPr>
      <w:r>
        <w:t>Th</w:t>
      </w:r>
      <w:r>
        <w:t xml:space="preserve">irdly, in ethics content, </w:t>
      </w:r>
      <w:r w:rsidR="000C4D30">
        <w:t xml:space="preserve">these children get to learn various ethics-related issues. These items include traditions, norms, as well as the values that matter in society. Through all these items in ethics, the children </w:t>
      </w:r>
      <w:r w:rsidR="00392C73">
        <w:t xml:space="preserve">get the opportunity not only </w:t>
      </w:r>
      <w:r w:rsidR="000C4D30">
        <w:t xml:space="preserve">to learn </w:t>
      </w:r>
      <w:r w:rsidR="00392C73">
        <w:t xml:space="preserve">but also to analyze </w:t>
      </w:r>
      <w:r w:rsidR="000C4D30">
        <w:t xml:space="preserve">the daily experiences and </w:t>
      </w:r>
      <w:r w:rsidR="00392C73">
        <w:t>situations</w:t>
      </w:r>
      <w:r w:rsidR="00A1153D">
        <w:t xml:space="preserve"> (</w:t>
      </w:r>
      <w:r w:rsidR="00A1153D" w:rsidRPr="00A65472">
        <w:rPr>
          <w:rFonts w:eastAsia="Times New Roman" w:cs="Times New Roman"/>
          <w:szCs w:val="24"/>
        </w:rPr>
        <w:t>Thunberg</w:t>
      </w:r>
      <w:r w:rsidR="00A1153D">
        <w:rPr>
          <w:rFonts w:eastAsia="Times New Roman" w:cs="Times New Roman"/>
          <w:szCs w:val="24"/>
        </w:rPr>
        <w:t xml:space="preserve"> at al., </w:t>
      </w:r>
      <w:r w:rsidR="00A1153D" w:rsidRPr="00A65472">
        <w:rPr>
          <w:rFonts w:eastAsia="Times New Roman" w:cs="Times New Roman"/>
          <w:szCs w:val="24"/>
        </w:rPr>
        <w:t>201</w:t>
      </w:r>
      <w:r w:rsidR="00A1153D">
        <w:rPr>
          <w:rFonts w:eastAsia="Times New Roman" w:cs="Times New Roman"/>
          <w:szCs w:val="24"/>
        </w:rPr>
        <w:t>8</w:t>
      </w:r>
      <w:r w:rsidR="00A1153D" w:rsidRPr="00A65472">
        <w:rPr>
          <w:rFonts w:eastAsia="Times New Roman" w:cs="Times New Roman"/>
          <w:szCs w:val="24"/>
        </w:rPr>
        <w:t>)</w:t>
      </w:r>
      <w:r w:rsidR="00392C73">
        <w:t xml:space="preserve">. </w:t>
      </w:r>
      <w:r w:rsidR="0084366A">
        <w:t>These items include the questions of injustices, respect for one another as well as equality</w:t>
      </w:r>
      <w:r w:rsidR="00C57052">
        <w:t xml:space="preserve"> (</w:t>
      </w:r>
      <w:r w:rsidR="00C57052" w:rsidRPr="00AA78A0">
        <w:rPr>
          <w:rFonts w:eastAsia="Times New Roman" w:cs="Times New Roman"/>
          <w:szCs w:val="24"/>
        </w:rPr>
        <w:t>Niemi, 2016)</w:t>
      </w:r>
      <w:r w:rsidR="0084366A">
        <w:t xml:space="preserve">. </w:t>
      </w:r>
      <w:r w:rsidR="00C96057">
        <w:t>In this context of engaging the learners, the teachers are required to be extra careful while handling these crucial lessons. The reason for the carefulness is that this children’s development stage is a very critical stage that not just any</w:t>
      </w:r>
      <w:r w:rsidR="00C732AA">
        <w:t>thing</w:t>
      </w:r>
      <w:r w:rsidR="00C96057">
        <w:t xml:space="preserve"> can </w:t>
      </w:r>
      <w:r w:rsidR="00C732AA">
        <w:t xml:space="preserve">be taught to them. </w:t>
      </w:r>
    </w:p>
    <w:p w:rsidR="00B51A0B" w:rsidRDefault="00572C3C" w:rsidP="00391731">
      <w:pPr>
        <w:spacing w:after="0"/>
        <w:ind w:firstLine="720"/>
        <w:contextualSpacing/>
      </w:pPr>
      <w:r>
        <w:t xml:space="preserve">Additionally, </w:t>
      </w:r>
      <w:r w:rsidR="00C70716">
        <w:t xml:space="preserve">in the history discipline, the educator handles matters related to history in the entire content. The educator </w:t>
      </w:r>
      <w:r w:rsidR="00F55CDD">
        <w:t xml:space="preserve">touches on the </w:t>
      </w:r>
      <w:r w:rsidR="00901842">
        <w:t xml:space="preserve">documents, artifacts as well as objects </w:t>
      </w:r>
      <w:r w:rsidR="00F55CDD">
        <w:t xml:space="preserve">that were </w:t>
      </w:r>
      <w:r w:rsidR="00901842">
        <w:t>used in the past</w:t>
      </w:r>
      <w:r w:rsidR="00F55CDD">
        <w:t>. While touching on these historical items, the educator must provide them to the learner so that the learner can get a grasp of how it was in the past</w:t>
      </w:r>
      <w:r w:rsidR="00B25BB6">
        <w:t xml:space="preserve"> (</w:t>
      </w:r>
      <w:r w:rsidR="00B25BB6" w:rsidRPr="00AA78A0">
        <w:rPr>
          <w:rFonts w:eastAsia="Times New Roman" w:cs="Times New Roman"/>
          <w:szCs w:val="24"/>
        </w:rPr>
        <w:t>Kansanen, 20</w:t>
      </w:r>
      <w:r w:rsidR="00B25BB6">
        <w:rPr>
          <w:rFonts w:eastAsia="Times New Roman" w:cs="Times New Roman"/>
          <w:szCs w:val="24"/>
        </w:rPr>
        <w:t>15</w:t>
      </w:r>
      <w:r w:rsidR="00B25BB6" w:rsidRPr="00AA78A0">
        <w:rPr>
          <w:rFonts w:eastAsia="Times New Roman" w:cs="Times New Roman"/>
          <w:szCs w:val="24"/>
        </w:rPr>
        <w:t>)</w:t>
      </w:r>
      <w:r w:rsidR="00F55CDD">
        <w:t xml:space="preserve">. </w:t>
      </w:r>
      <w:r w:rsidR="007940A2">
        <w:t>Another common strategy used to ensure that the learners get a glimpse of the past is by using the older members of the society who give general ideas about history.</w:t>
      </w:r>
    </w:p>
    <w:p w:rsidR="00E1791E" w:rsidRDefault="00572C3C" w:rsidP="00391731">
      <w:pPr>
        <w:spacing w:after="0"/>
        <w:ind w:firstLine="720"/>
        <w:contextualSpacing/>
      </w:pPr>
      <w:r>
        <w:t>Furthermore, i</w:t>
      </w:r>
      <w:r>
        <w:t xml:space="preserve">n natural science, learners get an opportunity to study a lot of </w:t>
      </w:r>
      <w:r w:rsidR="000D632D">
        <w:t xml:space="preserve">plant aspects. </w:t>
      </w:r>
      <w:r w:rsidR="00DA4A1F">
        <w:t>Finland, as it is well-known, is composed of four seasons</w:t>
      </w:r>
      <w:r w:rsidR="006032FD">
        <w:t xml:space="preserve"> (</w:t>
      </w:r>
      <w:r w:rsidR="006032FD" w:rsidRPr="00AA78A0">
        <w:rPr>
          <w:rFonts w:eastAsia="Times New Roman" w:cs="Times New Roman"/>
          <w:szCs w:val="24"/>
        </w:rPr>
        <w:t>Sahlberg, 201</w:t>
      </w:r>
      <w:r w:rsidR="006032FD">
        <w:rPr>
          <w:rFonts w:eastAsia="Times New Roman" w:cs="Times New Roman"/>
          <w:szCs w:val="24"/>
        </w:rPr>
        <w:t>6</w:t>
      </w:r>
      <w:r w:rsidR="006032FD" w:rsidRPr="00AA78A0">
        <w:rPr>
          <w:rFonts w:eastAsia="Times New Roman" w:cs="Times New Roman"/>
          <w:szCs w:val="24"/>
        </w:rPr>
        <w:t>)</w:t>
      </w:r>
      <w:r w:rsidR="00DA4A1F">
        <w:t>. Through these seasons, learners get the opportunity to learn about all plants, primarily through educational trips and activities</w:t>
      </w:r>
      <w:r w:rsidR="006C118F">
        <w:t xml:space="preserve"> (</w:t>
      </w:r>
      <w:r w:rsidR="006C118F" w:rsidRPr="00AA78A0">
        <w:rPr>
          <w:rFonts w:eastAsia="Times New Roman" w:cs="Times New Roman"/>
          <w:szCs w:val="24"/>
        </w:rPr>
        <w:t>Niemi, 2016)</w:t>
      </w:r>
      <w:r w:rsidR="00DA4A1F">
        <w:t xml:space="preserve">. through such nature-involving activities, learners get a glimpse of a different world view. </w:t>
      </w:r>
      <w:r w:rsidR="000E495A">
        <w:t xml:space="preserve">They get to learn about natural phenomena and their influence on nature. </w:t>
      </w:r>
      <w:r w:rsidR="009D39B3">
        <w:t xml:space="preserve">All these content elements are very crucial in setting up an environment where the learners can use various learning methods. </w:t>
      </w:r>
    </w:p>
    <w:p w:rsidR="000746A8" w:rsidRDefault="009D39B3" w:rsidP="00391731">
      <w:pPr>
        <w:spacing w:after="0"/>
        <w:ind w:firstLine="720"/>
        <w:contextualSpacing/>
      </w:pPr>
      <w:r>
        <w:lastRenderedPageBreak/>
        <w:t xml:space="preserve">The </w:t>
      </w:r>
      <w:r w:rsidR="00572C3C" w:rsidRPr="00CA601E">
        <w:t>Finnish new education model</w:t>
      </w:r>
      <w:r w:rsidR="00572C3C">
        <w:t xml:space="preserve"> curriculum cycle is made up of various steps. The cycle starts from </w:t>
      </w:r>
      <w:r w:rsidR="00935FD8">
        <w:t xml:space="preserve">observation all through to assessment. In the goal-setting stage of the cycle, the model aims to ensure the learner grows and develops continuously in terms of </w:t>
      </w:r>
      <w:r w:rsidR="008030DC">
        <w:t>self-reliance</w:t>
      </w:r>
      <w:r w:rsidR="005C3220">
        <w:t xml:space="preserve"> (</w:t>
      </w:r>
      <w:r w:rsidR="005C3220" w:rsidRPr="00AA78A0">
        <w:rPr>
          <w:rFonts w:eastAsia="Times New Roman" w:cs="Times New Roman"/>
          <w:szCs w:val="24"/>
        </w:rPr>
        <w:t>Kansanen, 20</w:t>
      </w:r>
      <w:r w:rsidR="005C3220">
        <w:rPr>
          <w:rFonts w:eastAsia="Times New Roman" w:cs="Times New Roman"/>
          <w:szCs w:val="24"/>
        </w:rPr>
        <w:t>15</w:t>
      </w:r>
      <w:r w:rsidR="005C3220" w:rsidRPr="00AA78A0">
        <w:rPr>
          <w:rFonts w:eastAsia="Times New Roman" w:cs="Times New Roman"/>
          <w:szCs w:val="24"/>
        </w:rPr>
        <w:t>)</w:t>
      </w:r>
      <w:r w:rsidR="00935FD8">
        <w:t xml:space="preserve">. </w:t>
      </w:r>
      <w:r w:rsidR="008030DC">
        <w:t xml:space="preserve">Also, at this stage, the children's behaviors towards others and themselves are polished in this stage. </w:t>
      </w:r>
      <w:r w:rsidR="000A004E">
        <w:t>Also, the step of goal setting ensures that the child's wellbeing is enhanced</w:t>
      </w:r>
      <w:r w:rsidR="008145C6">
        <w:t xml:space="preserve">. </w:t>
      </w:r>
      <w:r w:rsidR="00F429D2">
        <w:t>Once this stage is successful, the children cannot only take care of others but also themselves.</w:t>
      </w:r>
    </w:p>
    <w:p w:rsidR="00B35446" w:rsidRDefault="00572C3C" w:rsidP="00391731">
      <w:pPr>
        <w:spacing w:after="0"/>
        <w:ind w:firstLine="720"/>
        <w:contextualSpacing/>
      </w:pPr>
      <w:r>
        <w:t xml:space="preserve">In the </w:t>
      </w:r>
      <w:r w:rsidR="00060425">
        <w:t>final</w:t>
      </w:r>
      <w:r>
        <w:t xml:space="preserve"> stage of implementing the model, the overall wellbeing of the learner is the primary area of conce</w:t>
      </w:r>
      <w:r>
        <w:t xml:space="preserve">ntration. </w:t>
      </w:r>
      <w:r w:rsidR="00060425">
        <w:t xml:space="preserve">At this stage, the prosperity of the child is the main target. Through the use of this target, it is easier to come up with </w:t>
      </w:r>
      <w:r w:rsidR="00D301DC">
        <w:t xml:space="preserve">the ideal conditions for growth, development, and </w:t>
      </w:r>
      <w:r w:rsidR="00573F9F">
        <w:t>learning of the child</w:t>
      </w:r>
      <w:r w:rsidR="004F6AD8">
        <w:t xml:space="preserve"> (</w:t>
      </w:r>
      <w:r w:rsidR="004F6AD8" w:rsidRPr="00A65472">
        <w:rPr>
          <w:rFonts w:eastAsia="Times New Roman" w:cs="Times New Roman"/>
          <w:szCs w:val="24"/>
        </w:rPr>
        <w:t>Thunberg</w:t>
      </w:r>
      <w:r w:rsidR="004F6AD8">
        <w:rPr>
          <w:rFonts w:eastAsia="Times New Roman" w:cs="Times New Roman"/>
          <w:szCs w:val="24"/>
        </w:rPr>
        <w:t xml:space="preserve"> at al., </w:t>
      </w:r>
      <w:r w:rsidR="004F6AD8" w:rsidRPr="00A65472">
        <w:rPr>
          <w:rFonts w:eastAsia="Times New Roman" w:cs="Times New Roman"/>
          <w:szCs w:val="24"/>
        </w:rPr>
        <w:t>201</w:t>
      </w:r>
      <w:r w:rsidR="004F6AD8">
        <w:rPr>
          <w:rFonts w:eastAsia="Times New Roman" w:cs="Times New Roman"/>
          <w:szCs w:val="24"/>
        </w:rPr>
        <w:t>8</w:t>
      </w:r>
      <w:r w:rsidR="004F6AD8" w:rsidRPr="00A65472">
        <w:rPr>
          <w:rFonts w:eastAsia="Times New Roman" w:cs="Times New Roman"/>
          <w:szCs w:val="24"/>
        </w:rPr>
        <w:t>)</w:t>
      </w:r>
      <w:r w:rsidR="00573F9F">
        <w:t>. Through the application of all these strategies, the child can feel safe, free and above everything learn well and love his or her environment</w:t>
      </w:r>
    </w:p>
    <w:p w:rsidR="003932EF" w:rsidRDefault="00572C3C" w:rsidP="00391731">
      <w:pPr>
        <w:spacing w:after="0"/>
        <w:ind w:firstLine="720"/>
        <w:contextualSpacing/>
      </w:pPr>
      <w:r>
        <w:t xml:space="preserve">Lastly, assessment is a very crucial element in the curriculum of the </w:t>
      </w:r>
      <w:r w:rsidR="008B7BCD">
        <w:t xml:space="preserve">cycle of </w:t>
      </w:r>
      <w:r>
        <w:t>early</w:t>
      </w:r>
      <w:r w:rsidR="008B7BCD">
        <w:t xml:space="preserve"> education. At this stage, the learners get the opportunity to sit or do an </w:t>
      </w:r>
      <w:r w:rsidR="004F08B8">
        <w:t>assessment</w:t>
      </w:r>
      <w:r w:rsidR="008B7BCD">
        <w:t xml:space="preserve">. The purpose of this assessment is to ensure that </w:t>
      </w:r>
      <w:r w:rsidR="004F08B8">
        <w:t xml:space="preserve">learners genuinely understand what they are being taught. </w:t>
      </w:r>
      <w:r w:rsidR="00490273">
        <w:t xml:space="preserve">There are various ways in which this assessment can be done. These ways are diagnostic, verbal and self-assessment, summative as well as formative. One distinguishing factor about the diagnostic evaluation is that it focusses on the early learning stages. The most common procedure is trying to determine if the student is learning the right skills. </w:t>
      </w:r>
      <w:r w:rsidR="00320274">
        <w:t xml:space="preserve">In the formative type of assessment, you strive to check and identify the areas the student is having difficulties in demonstrating the required skills. </w:t>
      </w:r>
      <w:r w:rsidR="000B7A56">
        <w:t xml:space="preserve">The summative assessment, on the other side, combines all the ideas learned at the end of the learning process. </w:t>
      </w:r>
      <w:r w:rsidR="006C5C66">
        <w:t>The written and oral tests are often used evaluation documentation as the learning and planning proceeds. All these are very critical elements of assessment in this model.</w:t>
      </w:r>
    </w:p>
    <w:p w:rsidR="003932EF" w:rsidRDefault="00572C3C" w:rsidP="00391731">
      <w:pPr>
        <w:spacing w:after="0"/>
        <w:contextualSpacing/>
        <w:jc w:val="left"/>
      </w:pPr>
      <w:r>
        <w:lastRenderedPageBreak/>
        <w:br w:type="page"/>
      </w:r>
    </w:p>
    <w:p w:rsidR="00A65472" w:rsidRDefault="00572C3C" w:rsidP="00391731">
      <w:pPr>
        <w:spacing w:after="0"/>
        <w:contextualSpacing/>
        <w:jc w:val="center"/>
      </w:pPr>
      <w:r>
        <w:lastRenderedPageBreak/>
        <w:t xml:space="preserve">References </w:t>
      </w:r>
    </w:p>
    <w:p w:rsidR="00A65472" w:rsidRPr="00AA78A0" w:rsidRDefault="00572C3C" w:rsidP="00391731">
      <w:pPr>
        <w:spacing w:after="0"/>
        <w:ind w:left="720" w:hanging="720"/>
        <w:contextualSpacing/>
        <w:jc w:val="left"/>
        <w:rPr>
          <w:rFonts w:eastAsia="Times New Roman" w:cs="Times New Roman"/>
          <w:szCs w:val="24"/>
        </w:rPr>
      </w:pPr>
      <w:r w:rsidRPr="00AA78A0">
        <w:rPr>
          <w:rFonts w:eastAsia="Times New Roman" w:cs="Times New Roman"/>
          <w:szCs w:val="24"/>
        </w:rPr>
        <w:t>Kansanen, P. (20</w:t>
      </w:r>
      <w:r>
        <w:rPr>
          <w:rFonts w:eastAsia="Times New Roman" w:cs="Times New Roman"/>
          <w:szCs w:val="24"/>
        </w:rPr>
        <w:t>15</w:t>
      </w:r>
      <w:r w:rsidRPr="00AA78A0">
        <w:rPr>
          <w:rFonts w:eastAsia="Times New Roman" w:cs="Times New Roman"/>
          <w:szCs w:val="24"/>
        </w:rPr>
        <w:t>). Teacher education in Finland: Current models and new develop</w:t>
      </w:r>
      <w:r w:rsidRPr="00AA78A0">
        <w:rPr>
          <w:rFonts w:eastAsia="Times New Roman" w:cs="Times New Roman"/>
          <w:szCs w:val="24"/>
        </w:rPr>
        <w:t xml:space="preserve">ments. </w:t>
      </w:r>
      <w:r w:rsidRPr="00AA78A0">
        <w:rPr>
          <w:rFonts w:eastAsia="Times New Roman" w:cs="Times New Roman"/>
          <w:i/>
          <w:iCs/>
          <w:szCs w:val="24"/>
        </w:rPr>
        <w:t>Institutional approaches to teacher education within higher education in Europe: Current models and new developments</w:t>
      </w:r>
      <w:r w:rsidRPr="00AA78A0">
        <w:rPr>
          <w:rFonts w:eastAsia="Times New Roman" w:cs="Times New Roman"/>
          <w:szCs w:val="24"/>
        </w:rPr>
        <w:t>, 85-108.</w:t>
      </w:r>
    </w:p>
    <w:p w:rsidR="00A65472" w:rsidRPr="00AA78A0" w:rsidRDefault="00572C3C" w:rsidP="00391731">
      <w:pPr>
        <w:spacing w:after="0"/>
        <w:ind w:left="720" w:hanging="720"/>
        <w:contextualSpacing/>
        <w:jc w:val="left"/>
        <w:rPr>
          <w:rFonts w:eastAsia="Times New Roman" w:cs="Times New Roman"/>
          <w:szCs w:val="24"/>
        </w:rPr>
      </w:pPr>
      <w:r w:rsidRPr="00AA78A0">
        <w:rPr>
          <w:rFonts w:eastAsia="Times New Roman" w:cs="Times New Roman"/>
          <w:szCs w:val="24"/>
        </w:rPr>
        <w:t>Niemi, H. (2016). The societal factors contributing to education and schooling in Finland: Finnish education: Equity and qu</w:t>
      </w:r>
      <w:r w:rsidRPr="00AA78A0">
        <w:rPr>
          <w:rFonts w:eastAsia="Times New Roman" w:cs="Times New Roman"/>
          <w:szCs w:val="24"/>
        </w:rPr>
        <w:t xml:space="preserve">ality as its main objectives. In </w:t>
      </w:r>
      <w:r w:rsidRPr="00AA78A0">
        <w:rPr>
          <w:rFonts w:eastAsia="Times New Roman" w:cs="Times New Roman"/>
          <w:i/>
          <w:iCs/>
          <w:szCs w:val="24"/>
        </w:rPr>
        <w:t>Miracle of education</w:t>
      </w:r>
      <w:r w:rsidRPr="00AA78A0">
        <w:rPr>
          <w:rFonts w:eastAsia="Times New Roman" w:cs="Times New Roman"/>
          <w:szCs w:val="24"/>
        </w:rPr>
        <w:t xml:space="preserve"> (pp. 23-40). Brill Sense.</w:t>
      </w:r>
    </w:p>
    <w:p w:rsidR="00A65472" w:rsidRPr="00AA78A0" w:rsidRDefault="00572C3C" w:rsidP="00391731">
      <w:pPr>
        <w:spacing w:after="0"/>
        <w:ind w:left="720" w:hanging="720"/>
        <w:contextualSpacing/>
        <w:jc w:val="left"/>
        <w:rPr>
          <w:rFonts w:eastAsia="Times New Roman" w:cs="Times New Roman"/>
          <w:szCs w:val="24"/>
        </w:rPr>
      </w:pPr>
      <w:r w:rsidRPr="00AA78A0">
        <w:rPr>
          <w:rFonts w:eastAsia="Times New Roman" w:cs="Times New Roman"/>
          <w:szCs w:val="24"/>
        </w:rPr>
        <w:t>Sahlberg, P. (201</w:t>
      </w:r>
      <w:r>
        <w:rPr>
          <w:rFonts w:eastAsia="Times New Roman" w:cs="Times New Roman"/>
          <w:szCs w:val="24"/>
        </w:rPr>
        <w:t>6</w:t>
      </w:r>
      <w:r w:rsidRPr="00AA78A0">
        <w:rPr>
          <w:rFonts w:eastAsia="Times New Roman" w:cs="Times New Roman"/>
          <w:szCs w:val="24"/>
        </w:rPr>
        <w:t xml:space="preserve">). Educational change in Finland. In </w:t>
      </w:r>
      <w:r w:rsidRPr="00AA78A0">
        <w:rPr>
          <w:rFonts w:eastAsia="Times New Roman" w:cs="Times New Roman"/>
          <w:i/>
          <w:iCs/>
          <w:szCs w:val="24"/>
        </w:rPr>
        <w:t>Second international handbook of educational change</w:t>
      </w:r>
      <w:r w:rsidRPr="00AA78A0">
        <w:rPr>
          <w:rFonts w:eastAsia="Times New Roman" w:cs="Times New Roman"/>
          <w:szCs w:val="24"/>
        </w:rPr>
        <w:t xml:space="preserve"> (pp. 323-348). Springer, Dordrecht.</w:t>
      </w:r>
    </w:p>
    <w:p w:rsidR="00A65472" w:rsidRPr="00AA78A0" w:rsidRDefault="00572C3C" w:rsidP="00391731">
      <w:pPr>
        <w:spacing w:after="0"/>
        <w:ind w:left="720" w:hanging="720"/>
        <w:contextualSpacing/>
        <w:jc w:val="left"/>
        <w:rPr>
          <w:rFonts w:eastAsia="Times New Roman" w:cs="Times New Roman"/>
          <w:szCs w:val="24"/>
        </w:rPr>
      </w:pPr>
      <w:r w:rsidRPr="00AA78A0">
        <w:rPr>
          <w:rFonts w:eastAsia="Times New Roman" w:cs="Times New Roman"/>
          <w:szCs w:val="24"/>
        </w:rPr>
        <w:t>Sahlberg, P. (201</w:t>
      </w:r>
      <w:r>
        <w:rPr>
          <w:rFonts w:eastAsia="Times New Roman" w:cs="Times New Roman"/>
          <w:szCs w:val="24"/>
        </w:rPr>
        <w:t>5</w:t>
      </w:r>
      <w:r w:rsidRPr="00AA78A0">
        <w:rPr>
          <w:rFonts w:eastAsia="Times New Roman" w:cs="Times New Roman"/>
          <w:szCs w:val="24"/>
        </w:rPr>
        <w:t xml:space="preserve">). </w:t>
      </w:r>
      <w:r w:rsidRPr="00AA78A0">
        <w:rPr>
          <w:rFonts w:eastAsia="Times New Roman" w:cs="Times New Roman"/>
          <w:i/>
          <w:iCs/>
          <w:szCs w:val="24"/>
        </w:rPr>
        <w:t>Finnish less</w:t>
      </w:r>
      <w:r w:rsidRPr="00AA78A0">
        <w:rPr>
          <w:rFonts w:eastAsia="Times New Roman" w:cs="Times New Roman"/>
          <w:i/>
          <w:iCs/>
          <w:szCs w:val="24"/>
        </w:rPr>
        <w:t>ons 2.0: What can the world learn from educational change in Finland?</w:t>
      </w:r>
      <w:r w:rsidRPr="00AA78A0">
        <w:rPr>
          <w:rFonts w:eastAsia="Times New Roman" w:cs="Times New Roman"/>
          <w:szCs w:val="24"/>
        </w:rPr>
        <w:t>. Teachers College Press.</w:t>
      </w:r>
    </w:p>
    <w:p w:rsidR="00A65472" w:rsidRPr="00A65472" w:rsidRDefault="00572C3C" w:rsidP="00391731">
      <w:pPr>
        <w:spacing w:after="0"/>
        <w:ind w:left="720" w:hanging="720"/>
        <w:contextualSpacing/>
        <w:jc w:val="left"/>
        <w:rPr>
          <w:rFonts w:eastAsia="Times New Roman" w:cs="Times New Roman"/>
          <w:szCs w:val="24"/>
        </w:rPr>
      </w:pPr>
      <w:r w:rsidRPr="00A65472">
        <w:rPr>
          <w:rFonts w:eastAsia="Times New Roman" w:cs="Times New Roman"/>
          <w:szCs w:val="24"/>
        </w:rPr>
        <w:t>Taguma, M., Litjens, I., &amp; Makowiecki, K. (201</w:t>
      </w:r>
      <w:r>
        <w:rPr>
          <w:rFonts w:eastAsia="Times New Roman" w:cs="Times New Roman"/>
          <w:szCs w:val="24"/>
        </w:rPr>
        <w:t>5</w:t>
      </w:r>
      <w:r w:rsidRPr="00A65472">
        <w:rPr>
          <w:rFonts w:eastAsia="Times New Roman" w:cs="Times New Roman"/>
          <w:szCs w:val="24"/>
        </w:rPr>
        <w:t xml:space="preserve">). </w:t>
      </w:r>
      <w:r w:rsidRPr="00A65472">
        <w:rPr>
          <w:rFonts w:eastAsia="Times New Roman" w:cs="Times New Roman"/>
          <w:i/>
          <w:iCs/>
          <w:szCs w:val="24"/>
        </w:rPr>
        <w:t>Quality Matters in Early Childhood Education and Care: Finland</w:t>
      </w:r>
      <w:r w:rsidRPr="00A65472">
        <w:rPr>
          <w:rFonts w:eastAsia="Times New Roman" w:cs="Times New Roman"/>
          <w:szCs w:val="24"/>
        </w:rPr>
        <w:t xml:space="preserve">. OECD Publishing. 2, rue Andre Pascal, F-75775 </w:t>
      </w:r>
      <w:r w:rsidRPr="00A65472">
        <w:rPr>
          <w:rFonts w:eastAsia="Times New Roman" w:cs="Times New Roman"/>
          <w:szCs w:val="24"/>
        </w:rPr>
        <w:t>Paris Cedex 16, France.</w:t>
      </w:r>
    </w:p>
    <w:p w:rsidR="00A65472" w:rsidRPr="00A65472" w:rsidRDefault="00572C3C" w:rsidP="00391731">
      <w:pPr>
        <w:spacing w:after="0"/>
        <w:ind w:left="720" w:hanging="720"/>
        <w:contextualSpacing/>
        <w:jc w:val="left"/>
        <w:rPr>
          <w:rFonts w:eastAsia="Times New Roman" w:cs="Times New Roman"/>
          <w:szCs w:val="24"/>
        </w:rPr>
      </w:pPr>
      <w:r w:rsidRPr="00A65472">
        <w:rPr>
          <w:rFonts w:eastAsia="Times New Roman" w:cs="Times New Roman"/>
          <w:szCs w:val="24"/>
        </w:rPr>
        <w:t>Thuneberg, H., Hautamäki, J., Ahtiainen, R., L</w:t>
      </w:r>
      <w:bookmarkStart w:id="1" w:name="_GoBack"/>
      <w:bookmarkEnd w:id="1"/>
      <w:r w:rsidRPr="00A65472">
        <w:rPr>
          <w:rFonts w:eastAsia="Times New Roman" w:cs="Times New Roman"/>
          <w:szCs w:val="24"/>
        </w:rPr>
        <w:t>intuvuori, M., Vainikainen, M. P., &amp; Hilasvuori, T. (201</w:t>
      </w:r>
      <w:r>
        <w:rPr>
          <w:rFonts w:eastAsia="Times New Roman" w:cs="Times New Roman"/>
          <w:szCs w:val="24"/>
        </w:rPr>
        <w:t>8</w:t>
      </w:r>
      <w:r w:rsidRPr="00A65472">
        <w:rPr>
          <w:rFonts w:eastAsia="Times New Roman" w:cs="Times New Roman"/>
          <w:szCs w:val="24"/>
        </w:rPr>
        <w:t xml:space="preserve">). Conceptual change in adopting the national special education strategy in Finland. </w:t>
      </w:r>
      <w:r w:rsidRPr="00A65472">
        <w:rPr>
          <w:rFonts w:eastAsia="Times New Roman" w:cs="Times New Roman"/>
          <w:i/>
          <w:iCs/>
          <w:szCs w:val="24"/>
        </w:rPr>
        <w:t>Journal of Educational Change</w:t>
      </w:r>
      <w:r w:rsidRPr="00A65472">
        <w:rPr>
          <w:rFonts w:eastAsia="Times New Roman" w:cs="Times New Roman"/>
          <w:szCs w:val="24"/>
        </w:rPr>
        <w:t xml:space="preserve">, </w:t>
      </w:r>
      <w:r w:rsidRPr="00A65472">
        <w:rPr>
          <w:rFonts w:eastAsia="Times New Roman" w:cs="Times New Roman"/>
          <w:i/>
          <w:iCs/>
          <w:szCs w:val="24"/>
        </w:rPr>
        <w:t>15</w:t>
      </w:r>
      <w:r w:rsidRPr="00A65472">
        <w:rPr>
          <w:rFonts w:eastAsia="Times New Roman" w:cs="Times New Roman"/>
          <w:szCs w:val="24"/>
        </w:rPr>
        <w:t>(1), 37-56.</w:t>
      </w:r>
    </w:p>
    <w:p w:rsidR="00177952" w:rsidRPr="00CC409B" w:rsidRDefault="00177952" w:rsidP="00391731">
      <w:pPr>
        <w:spacing w:after="0"/>
        <w:contextualSpacing/>
      </w:pPr>
    </w:p>
    <w:p w:rsidR="000A64AB" w:rsidRPr="000A64AB" w:rsidRDefault="000A64AB" w:rsidP="00391731">
      <w:pPr>
        <w:spacing w:after="0"/>
        <w:contextualSpacing/>
      </w:pPr>
    </w:p>
    <w:p w:rsidR="000A64AB" w:rsidRPr="000A64AB" w:rsidRDefault="000A64AB" w:rsidP="00391731">
      <w:pPr>
        <w:spacing w:after="0"/>
        <w:contextualSpacing/>
      </w:pPr>
    </w:p>
    <w:sectPr w:rsidR="000A64AB" w:rsidRPr="000A64AB" w:rsidSect="0097174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2C3C" w:rsidRDefault="00572C3C">
      <w:pPr>
        <w:spacing w:after="0" w:line="240" w:lineRule="auto"/>
      </w:pPr>
      <w:r>
        <w:separator/>
      </w:r>
    </w:p>
  </w:endnote>
  <w:endnote w:type="continuationSeparator" w:id="0">
    <w:p w:rsidR="00572C3C" w:rsidRDefault="00572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2C3C" w:rsidRDefault="00572C3C">
      <w:pPr>
        <w:spacing w:after="0" w:line="240" w:lineRule="auto"/>
      </w:pPr>
      <w:r>
        <w:separator/>
      </w:r>
    </w:p>
  </w:footnote>
  <w:footnote w:type="continuationSeparator" w:id="0">
    <w:p w:rsidR="00572C3C" w:rsidRDefault="00572C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740" w:rsidRDefault="00572C3C">
    <w:pPr>
      <w:pStyle w:val="Header"/>
      <w:jc w:val="right"/>
    </w:pPr>
    <w:r w:rsidRPr="00971740">
      <w:t>FINNISH EARLY EDUCATION MODEL</w:t>
    </w:r>
    <w:r>
      <w:t xml:space="preserve"> </w:t>
    </w:r>
    <w:r>
      <w:tab/>
    </w:r>
    <w:r>
      <w:tab/>
    </w:r>
    <w:sdt>
      <w:sdtPr>
        <w:id w:val="14013266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1731">
          <w:rPr>
            <w:noProof/>
          </w:rPr>
          <w:t>7</w:t>
        </w:r>
        <w:r>
          <w:rPr>
            <w:noProof/>
          </w:rPr>
          <w:fldChar w:fldCharType="end"/>
        </w:r>
      </w:sdtContent>
    </w:sdt>
  </w:p>
  <w:p w:rsidR="00971740" w:rsidRDefault="009717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8596940"/>
      <w:docPartObj>
        <w:docPartGallery w:val="Page Numbers (Top of Page)"/>
        <w:docPartUnique/>
      </w:docPartObj>
    </w:sdtPr>
    <w:sdtEndPr>
      <w:rPr>
        <w:noProof/>
      </w:rPr>
    </w:sdtEndPr>
    <w:sdtContent>
      <w:p w:rsidR="00971740" w:rsidRDefault="00572C3C">
        <w:pPr>
          <w:pStyle w:val="Header"/>
          <w:jc w:val="right"/>
        </w:pPr>
        <w:r>
          <w:t xml:space="preserve">Running head: </w:t>
        </w:r>
        <w:r w:rsidRPr="00971740">
          <w:t>FINNISH EARLY EDUCATION MODEL</w:t>
        </w:r>
        <w:r>
          <w:tab/>
          <w:t xml:space="preserve"> </w:t>
        </w:r>
        <w:r>
          <w:fldChar w:fldCharType="begin"/>
        </w:r>
        <w:r>
          <w:instrText xml:space="preserve"> PAGE   \* MERGEFORMAT </w:instrText>
        </w:r>
        <w:r>
          <w:fldChar w:fldCharType="separate"/>
        </w:r>
        <w:r w:rsidR="00391731">
          <w:rPr>
            <w:noProof/>
          </w:rPr>
          <w:t>1</w:t>
        </w:r>
        <w:r>
          <w:rPr>
            <w:noProof/>
          </w:rPr>
          <w:fldChar w:fldCharType="end"/>
        </w:r>
      </w:p>
    </w:sdtContent>
  </w:sdt>
  <w:p w:rsidR="00971740" w:rsidRDefault="009717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4AB"/>
    <w:rsid w:val="0005652E"/>
    <w:rsid w:val="00060425"/>
    <w:rsid w:val="000746A8"/>
    <w:rsid w:val="000A004E"/>
    <w:rsid w:val="000A64AB"/>
    <w:rsid w:val="000B7A56"/>
    <w:rsid w:val="000C4D30"/>
    <w:rsid w:val="000D632D"/>
    <w:rsid w:val="000E495A"/>
    <w:rsid w:val="00177952"/>
    <w:rsid w:val="0021795B"/>
    <w:rsid w:val="00316868"/>
    <w:rsid w:val="00320274"/>
    <w:rsid w:val="003533C4"/>
    <w:rsid w:val="00391731"/>
    <w:rsid w:val="00392C73"/>
    <w:rsid w:val="003932EF"/>
    <w:rsid w:val="003A71BD"/>
    <w:rsid w:val="004113A4"/>
    <w:rsid w:val="0043135F"/>
    <w:rsid w:val="00490273"/>
    <w:rsid w:val="004C3C58"/>
    <w:rsid w:val="004E0D9D"/>
    <w:rsid w:val="004F08B8"/>
    <w:rsid w:val="004F6AD8"/>
    <w:rsid w:val="00540819"/>
    <w:rsid w:val="00572C3C"/>
    <w:rsid w:val="00573F9F"/>
    <w:rsid w:val="005C3220"/>
    <w:rsid w:val="006032FD"/>
    <w:rsid w:val="00636EB9"/>
    <w:rsid w:val="00651425"/>
    <w:rsid w:val="006C118F"/>
    <w:rsid w:val="006C5C66"/>
    <w:rsid w:val="006E2D5C"/>
    <w:rsid w:val="007940A2"/>
    <w:rsid w:val="007A7A12"/>
    <w:rsid w:val="007F0A7A"/>
    <w:rsid w:val="008030DC"/>
    <w:rsid w:val="00811B77"/>
    <w:rsid w:val="008145C6"/>
    <w:rsid w:val="0084366A"/>
    <w:rsid w:val="0085364E"/>
    <w:rsid w:val="00883756"/>
    <w:rsid w:val="008B7BCD"/>
    <w:rsid w:val="008D4140"/>
    <w:rsid w:val="00901842"/>
    <w:rsid w:val="00935FD8"/>
    <w:rsid w:val="00971740"/>
    <w:rsid w:val="00971F62"/>
    <w:rsid w:val="009730ED"/>
    <w:rsid w:val="009D39B3"/>
    <w:rsid w:val="009F196E"/>
    <w:rsid w:val="009F7741"/>
    <w:rsid w:val="00A113CA"/>
    <w:rsid w:val="00A1153D"/>
    <w:rsid w:val="00A447C0"/>
    <w:rsid w:val="00A65472"/>
    <w:rsid w:val="00AA78A0"/>
    <w:rsid w:val="00AC3FED"/>
    <w:rsid w:val="00B25BB6"/>
    <w:rsid w:val="00B35446"/>
    <w:rsid w:val="00B36692"/>
    <w:rsid w:val="00B51A0B"/>
    <w:rsid w:val="00B60C45"/>
    <w:rsid w:val="00C16DA7"/>
    <w:rsid w:val="00C57052"/>
    <w:rsid w:val="00C70716"/>
    <w:rsid w:val="00C732AA"/>
    <w:rsid w:val="00C96057"/>
    <w:rsid w:val="00CA601E"/>
    <w:rsid w:val="00CC409B"/>
    <w:rsid w:val="00CF080C"/>
    <w:rsid w:val="00D0711F"/>
    <w:rsid w:val="00D12B68"/>
    <w:rsid w:val="00D301DC"/>
    <w:rsid w:val="00DA4A1F"/>
    <w:rsid w:val="00DB0B61"/>
    <w:rsid w:val="00E1791E"/>
    <w:rsid w:val="00E51CA8"/>
    <w:rsid w:val="00F21269"/>
    <w:rsid w:val="00F429D2"/>
    <w:rsid w:val="00F55CDD"/>
    <w:rsid w:val="00F85B2A"/>
    <w:rsid w:val="00F96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BF4971-FD53-462A-9321-2F2ED33F8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17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1740"/>
    <w:rPr>
      <w:rFonts w:ascii="Times New Roman" w:hAnsi="Times New Roman"/>
      <w:sz w:val="24"/>
    </w:rPr>
  </w:style>
  <w:style w:type="paragraph" w:styleId="Footer">
    <w:name w:val="footer"/>
    <w:basedOn w:val="Normal"/>
    <w:link w:val="FooterChar"/>
    <w:uiPriority w:val="99"/>
    <w:unhideWhenUsed/>
    <w:rsid w:val="009717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174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9869E-B34F-4DB0-9F60-0FFD86F49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1456</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2020-03-06T22:31:00Z</dcterms:created>
  <dcterms:modified xsi:type="dcterms:W3CDTF">2020-03-06T22:31:00Z</dcterms:modified>
</cp:coreProperties>
</file>